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1F6" w:rsidRPr="00F801F6" w:rsidRDefault="00F801F6" w:rsidP="00F801F6">
      <w:pPr>
        <w:shd w:val="clear" w:color="auto" w:fill="FFFFFF"/>
        <w:spacing w:after="0" w:line="240" w:lineRule="auto"/>
        <w:rPr>
          <w:rFonts w:eastAsia="Times New Roman" w:cstheme="minorHAnsi"/>
          <w:color w:val="222222"/>
          <w:sz w:val="28"/>
          <w:szCs w:val="28"/>
          <w:lang w:eastAsia="is-IS"/>
        </w:rPr>
      </w:pPr>
      <w:bookmarkStart w:id="0" w:name="_GoBack"/>
      <w:bookmarkEnd w:id="0"/>
      <w:r w:rsidRPr="00F801F6">
        <w:rPr>
          <w:rFonts w:eastAsia="Times New Roman" w:cstheme="minorHAnsi"/>
          <w:bCs/>
          <w:color w:val="000000"/>
          <w:sz w:val="28"/>
          <w:szCs w:val="28"/>
          <w:lang w:eastAsia="is-IS"/>
        </w:rPr>
        <w:t>Skipulags- og byggingarfulltrúi Uppsveita bs.</w:t>
      </w:r>
    </w:p>
    <w:p w:rsidR="00F801F6" w:rsidRPr="00F801F6" w:rsidRDefault="00F801F6" w:rsidP="00F801F6">
      <w:pPr>
        <w:shd w:val="clear" w:color="auto" w:fill="FFFFFF"/>
        <w:spacing w:after="0" w:line="240" w:lineRule="auto"/>
        <w:rPr>
          <w:rFonts w:eastAsia="Times New Roman" w:cstheme="minorHAnsi"/>
          <w:color w:val="222222"/>
          <w:sz w:val="28"/>
          <w:szCs w:val="28"/>
          <w:lang w:eastAsia="is-IS"/>
        </w:rPr>
      </w:pPr>
      <w:r w:rsidRPr="00F801F6">
        <w:rPr>
          <w:rFonts w:eastAsia="Times New Roman" w:cstheme="minorHAnsi"/>
          <w:color w:val="000000"/>
          <w:sz w:val="28"/>
          <w:szCs w:val="28"/>
          <w:lang w:eastAsia="is-IS"/>
        </w:rPr>
        <w:t>Dalbraut 12, 840 Laugarvatni</w:t>
      </w:r>
    </w:p>
    <w:p w:rsidR="00F801F6" w:rsidRDefault="00F801F6" w:rsidP="00F801F6">
      <w:pPr>
        <w:spacing w:after="0" w:line="240" w:lineRule="auto"/>
        <w:rPr>
          <w:b/>
        </w:rPr>
      </w:pPr>
    </w:p>
    <w:p w:rsidR="00F801F6" w:rsidRDefault="00F801F6" w:rsidP="00F801F6">
      <w:pPr>
        <w:spacing w:after="0" w:line="240" w:lineRule="auto"/>
        <w:jc w:val="right"/>
        <w:rPr>
          <w:b/>
        </w:rPr>
      </w:pPr>
    </w:p>
    <w:p w:rsidR="00F801F6" w:rsidRPr="00F801F6" w:rsidRDefault="00F801F6" w:rsidP="00F801F6">
      <w:pPr>
        <w:spacing w:after="0" w:line="240" w:lineRule="auto"/>
        <w:jc w:val="right"/>
      </w:pPr>
      <w:r w:rsidRPr="00F801F6">
        <w:t>Reykjavík 25.07.2018</w:t>
      </w:r>
    </w:p>
    <w:p w:rsidR="00F801F6" w:rsidRDefault="00F801F6" w:rsidP="00F801F6">
      <w:pPr>
        <w:spacing w:after="0" w:line="240" w:lineRule="auto"/>
        <w:rPr>
          <w:b/>
        </w:rPr>
      </w:pPr>
    </w:p>
    <w:p w:rsidR="00F801F6" w:rsidRDefault="00F801F6" w:rsidP="00F801F6">
      <w:pPr>
        <w:spacing w:after="0" w:line="240" w:lineRule="auto"/>
        <w:rPr>
          <w:b/>
        </w:rPr>
      </w:pPr>
      <w:r>
        <w:rPr>
          <w:b/>
        </w:rPr>
        <w:t>Efni: Auglýsing og samþykki hækkunar á nýtingarhlutfalli lóða við Dalaland á Hólaþýfi í Hrunamannahreppi.</w:t>
      </w:r>
    </w:p>
    <w:p w:rsidR="00F801F6" w:rsidRDefault="00F801F6" w:rsidP="00F801F6">
      <w:pPr>
        <w:spacing w:after="0" w:line="240" w:lineRule="auto"/>
        <w:rPr>
          <w:b/>
        </w:rPr>
      </w:pPr>
    </w:p>
    <w:p w:rsidR="00F801F6" w:rsidRPr="00F801F6" w:rsidRDefault="00F801F6" w:rsidP="00F801F6">
      <w:pPr>
        <w:spacing w:after="0" w:line="240" w:lineRule="auto"/>
      </w:pPr>
      <w:r w:rsidRPr="00F801F6">
        <w:t>Eftirfarandi er breyting á greinagerð (skipulagsnúmer 7761) með deiliskipulagi frístundabyggðar við Dalaland á landi Hólaþýfis úr landi Reykjadals í Hrunamannahreppi sem samþykkt var af sveitarstjórn Hrunamannahrepps annan nóvember 2006.</w:t>
      </w:r>
    </w:p>
    <w:p w:rsidR="00F801F6" w:rsidRDefault="00F801F6" w:rsidP="00F801F6">
      <w:pPr>
        <w:spacing w:after="0" w:line="240" w:lineRule="auto"/>
      </w:pPr>
    </w:p>
    <w:p w:rsidR="00F801F6" w:rsidRDefault="00F801F6" w:rsidP="00F801F6">
      <w:pPr>
        <w:spacing w:after="0" w:line="240" w:lineRule="auto"/>
      </w:pPr>
      <w:r>
        <w:t>Um er að ræða deiliskipulagsbreytingu sem snýr að hækkun nýtingarhlutfalls lóða. Breytingin var samþykkt á fundi skipulagsnefndar þann 28.06.2018 og er hún svohljóðandi: Skipulagsnefnd samþykkir að hækka nýtingarhlutfall lóða í 0,03 og að aðalhús geti verið allt að 130 m2 og að gestahús eða geymsla geti verið allt að 40 m2 fyrir allt svæðið. Skipulagsnefnd mælir með að tillagan verði auglýst skv. 1. mgr. 41. gr. skipulagslaga.</w:t>
      </w:r>
    </w:p>
    <w:p w:rsidR="00F801F6" w:rsidRDefault="00F801F6" w:rsidP="00F801F6">
      <w:pPr>
        <w:spacing w:after="0" w:line="240" w:lineRule="auto"/>
      </w:pPr>
      <w:r>
        <w:t xml:space="preserve"> </w:t>
      </w:r>
    </w:p>
    <w:p w:rsidR="00F801F6" w:rsidRDefault="00F801F6" w:rsidP="00F801F6">
      <w:pPr>
        <w:spacing w:after="0" w:line="240" w:lineRule="auto"/>
      </w:pPr>
      <w:r>
        <w:t>Í framhaldi af því er hér óskað eftir að heimild til breyta gildandi greinagerð með deiliskipulagi fyrir frístundabyggð við Dalaland frá 2. nóvember 2006 með því að hækka nýtingarhlutfalli lóða frá því sem kveður á um í kafla fimm „Skilmálar“ á blaðsíðu í þrjú í fyrrnefndri greinagerð Meðfylgjandi er deiliskipulagsuppdráttur sem sýnir að hámarksflötur byggingar er 130 m2.</w:t>
      </w:r>
    </w:p>
    <w:p w:rsidR="00F801F6" w:rsidRDefault="00F801F6" w:rsidP="00F801F6">
      <w:pPr>
        <w:spacing w:after="0" w:line="240" w:lineRule="auto"/>
      </w:pPr>
    </w:p>
    <w:p w:rsidR="00F801F6" w:rsidRDefault="00F801F6" w:rsidP="00F801F6">
      <w:pPr>
        <w:spacing w:after="0" w:line="240" w:lineRule="auto"/>
      </w:pPr>
      <w:r>
        <w:t xml:space="preserve">Í kafla </w:t>
      </w:r>
      <w:r w:rsidRPr="005E7BAE">
        <w:rPr>
          <w:b/>
        </w:rPr>
        <w:t>5 Skilmálum</w:t>
      </w:r>
      <w:r>
        <w:t xml:space="preserve"> í greinagerð með deiliskipulagi frá 2006 segir undir greininni</w:t>
      </w:r>
      <w:r w:rsidRPr="009170CE">
        <w:rPr>
          <w:b/>
        </w:rPr>
        <w:t xml:space="preserve"> </w:t>
      </w:r>
      <w:r w:rsidRPr="00570195">
        <w:rPr>
          <w:b/>
        </w:rPr>
        <w:t>Stærð og lögun húsa</w:t>
      </w:r>
      <w:r>
        <w:t xml:space="preserve">: </w:t>
      </w:r>
    </w:p>
    <w:p w:rsidR="00F801F6" w:rsidRDefault="00F801F6" w:rsidP="00F801F6">
      <w:pPr>
        <w:spacing w:after="0" w:line="240" w:lineRule="auto"/>
      </w:pPr>
      <w:r>
        <w:t xml:space="preserve">Almennt er vísað til ákvæða gildandi byggingarreglugerðar um efni og gerð sumarhúsa. Að auki skulu gilda eftirfarandi ákvæði. </w:t>
      </w:r>
    </w:p>
    <w:p w:rsidR="00F801F6" w:rsidRDefault="00F801F6" w:rsidP="00F801F6">
      <w:pPr>
        <w:spacing w:after="0" w:line="240" w:lineRule="auto"/>
      </w:pPr>
      <w:r w:rsidRPr="005E7BAE">
        <w:rPr>
          <w:i/>
        </w:rPr>
        <w:t>Hámarksgrunnflötur húsa 120 m2</w:t>
      </w:r>
      <w:r>
        <w:t xml:space="preserve">. Þök þeirra skulu vera með risformi eða flötu þaki. Heimilt er að reisa </w:t>
      </w:r>
      <w:r w:rsidRPr="005E7BAE">
        <w:rPr>
          <w:i/>
        </w:rPr>
        <w:t>20 m2 gestahús eða geymslu</w:t>
      </w:r>
      <w:r>
        <w:t xml:space="preserve"> við húsin. Gæta skal samræmis í útliti húsa og gestahúss /geymslu. </w:t>
      </w:r>
    </w:p>
    <w:p w:rsidR="00F801F6" w:rsidRDefault="00F801F6" w:rsidP="00F801F6">
      <w:pPr>
        <w:spacing w:after="0" w:line="240" w:lineRule="auto"/>
      </w:pPr>
      <w:r>
        <w:t>Hæðarsetning húsa skal vera sem lægst frá jörðu, en miðast við aðstæður í hverju tilviki.</w:t>
      </w:r>
    </w:p>
    <w:p w:rsidR="00F801F6" w:rsidRDefault="00F801F6" w:rsidP="00F801F6">
      <w:pPr>
        <w:spacing w:after="0" w:line="240" w:lineRule="auto"/>
      </w:pPr>
    </w:p>
    <w:p w:rsidR="00F801F6" w:rsidRDefault="00F801F6" w:rsidP="00F801F6">
      <w:pPr>
        <w:spacing w:after="0" w:line="240" w:lineRule="auto"/>
      </w:pPr>
      <w:r w:rsidRPr="005E7BAE">
        <w:rPr>
          <w:b/>
        </w:rPr>
        <w:t>Eftir breytinguna árið 2018</w:t>
      </w:r>
      <w:r>
        <w:t xml:space="preserve"> gilda</w:t>
      </w:r>
      <w:r w:rsidRPr="009170CE">
        <w:rPr>
          <w:b/>
        </w:rPr>
        <w:t xml:space="preserve"> </w:t>
      </w:r>
      <w:r>
        <w:t xml:space="preserve">eftirfarandi ákvæði </w:t>
      </w:r>
      <w:r w:rsidRPr="005E7BAE">
        <w:t>um</w:t>
      </w:r>
      <w:r>
        <w:rPr>
          <w:b/>
        </w:rPr>
        <w:t xml:space="preserve"> </w:t>
      </w:r>
      <w:r w:rsidRPr="00570195">
        <w:rPr>
          <w:b/>
        </w:rPr>
        <w:t>Stærð og lögun húsa</w:t>
      </w:r>
      <w:r>
        <w:t xml:space="preserve">:  </w:t>
      </w:r>
    </w:p>
    <w:p w:rsidR="00F801F6" w:rsidRDefault="00F801F6" w:rsidP="00F801F6">
      <w:pPr>
        <w:spacing w:after="0" w:line="240" w:lineRule="auto"/>
      </w:pPr>
      <w:r>
        <w:t xml:space="preserve">Almennt er vísað til ákvæða gildandi byggingarreglugerðar um efni og gerð sumarhúsa. Að auki skulu gilda eftirfarandi ákvæði. </w:t>
      </w:r>
    </w:p>
    <w:p w:rsidR="00F801F6" w:rsidRDefault="00F801F6" w:rsidP="00F801F6">
      <w:pPr>
        <w:spacing w:after="0" w:line="240" w:lineRule="auto"/>
      </w:pPr>
      <w:r w:rsidRPr="005E7BAE">
        <w:rPr>
          <w:i/>
        </w:rPr>
        <w:t>Hámarksgrunnflötur húsa 130 m2</w:t>
      </w:r>
      <w:r>
        <w:t xml:space="preserve">. Þök þeirra skulu vera með risformi eða flötu þaki. Heimilt er að reisa </w:t>
      </w:r>
      <w:r w:rsidRPr="005E7BAE">
        <w:rPr>
          <w:i/>
        </w:rPr>
        <w:t>40 m2 gestahús eða geymslu</w:t>
      </w:r>
      <w:r>
        <w:t xml:space="preserve"> við húsin. Gæta skal samræmis í útliti húsa og gestahúss /geymslu. </w:t>
      </w:r>
    </w:p>
    <w:p w:rsidR="00F801F6" w:rsidRDefault="00F801F6" w:rsidP="00F801F6">
      <w:pPr>
        <w:spacing w:after="0" w:line="240" w:lineRule="auto"/>
      </w:pPr>
      <w:r>
        <w:t>Hæðarsetning húsa skal vera sem lægst frá jörðu, en miðast við aðstæður í hverju tilviki.</w:t>
      </w:r>
    </w:p>
    <w:p w:rsidR="00FD7C87" w:rsidRDefault="00FD7C87"/>
    <w:p w:rsidR="00F801F6" w:rsidRDefault="00F801F6" w:rsidP="00F801F6">
      <w:pPr>
        <w:spacing w:after="0"/>
      </w:pPr>
      <w:r>
        <w:t>Feti ehf</w:t>
      </w:r>
    </w:p>
    <w:p w:rsidR="00F801F6" w:rsidRDefault="00F801F6" w:rsidP="00F801F6">
      <w:pPr>
        <w:spacing w:after="0"/>
      </w:pPr>
      <w:r>
        <w:t>Kristbjörg Hjaltadóttir</w:t>
      </w:r>
    </w:p>
    <w:p w:rsidR="00F801F6" w:rsidRDefault="00F801F6" w:rsidP="00F801F6">
      <w:pPr>
        <w:spacing w:after="0"/>
      </w:pPr>
      <w:r>
        <w:t>Farsími 8918191</w:t>
      </w:r>
    </w:p>
    <w:sectPr w:rsidR="00F80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F6"/>
    <w:rsid w:val="00637A5C"/>
    <w:rsid w:val="007503A8"/>
    <w:rsid w:val="00F801F6"/>
    <w:rsid w:val="00FD7C8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7EF62-C1D7-4134-8BE1-F6A31D58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5B471094.dotm</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Vinir Vatnajökuls</dc:creator>
  <cp:keywords/>
  <dc:description/>
  <cp:lastModifiedBy>Sigrún Birgisdóttir</cp:lastModifiedBy>
  <cp:revision>2</cp:revision>
  <dcterms:created xsi:type="dcterms:W3CDTF">2018-08-03T13:35:00Z</dcterms:created>
  <dcterms:modified xsi:type="dcterms:W3CDTF">2018-08-03T13:35:00Z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Hólaþýfi til auglýsingar 2018.docx</vt:lpwstr>
  </property>
  <property fmtid="{D5CDD505-2E9C-101B-9397-08002B2CF9AE}" pid="3" name="One_Number">
    <vt:lpwstr>1806053</vt:lpwstr>
  </property>
  <property fmtid="{D5CDD505-2E9C-101B-9397-08002B2CF9AE}" pid="4" name="One_Employee">
    <vt:lpwstr/>
  </property>
  <property fmtid="{D5CDD505-2E9C-101B-9397-08002B2CF9AE}" pid="5" name="One_Status">
    <vt:lpwstr/>
  </property>
  <property fmtid="{D5CDD505-2E9C-101B-9397-08002B2CF9AE}" pid="6" name="One_FileVersion">
    <vt:lpwstr>0.0</vt:lpwstr>
  </property>
  <property fmtid="{D5CDD505-2E9C-101B-9397-08002B2CF9AE}" pid="7" name="One_FileComment">
    <vt:lpwstr/>
  </property>
  <property fmtid="{D5CDD505-2E9C-101B-9397-08002B2CF9AE}" pid="8" name="One_Author">
    <vt:lpwstr>Sigrún Elín Birgisdóttir</vt:lpwstr>
  </property>
  <property fmtid="{D5CDD505-2E9C-101B-9397-08002B2CF9AE}" pid="9" name="One_PublishDate">
    <vt:lpwstr/>
  </property>
  <property fmtid="{D5CDD505-2E9C-101B-9397-08002B2CF9AE}" pid="10" name="OneQuality_Handbooks">
    <vt:lpwstr/>
  </property>
  <property fmtid="{D5CDD505-2E9C-101B-9397-08002B2CF9AE}" pid="11" name="OneQuality_Processes">
    <vt:lpwstr/>
  </property>
  <property fmtid="{D5CDD505-2E9C-101B-9397-08002B2CF9AE}" pid="12" name="OneQuality_QualityItemType">
    <vt:lpwstr/>
  </property>
  <property fmtid="{D5CDD505-2E9C-101B-9397-08002B2CF9AE}" pid="13" name="OneQuality_ReviewSettings">
    <vt:lpwstr/>
  </property>
  <property fmtid="{D5CDD505-2E9C-101B-9397-08002B2CF9AE}" pid="14" name="OneQuality_HeadChapter">
    <vt:lpwstr/>
  </property>
  <property fmtid="{D5CDD505-2E9C-101B-9397-08002B2CF9AE}" pid="15" name="OneQuality_Chapter">
    <vt:lpwstr/>
  </property>
</Properties>
</file>